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6637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Style w:val="9"/>
          <w:rFonts w:hint="eastAsia" w:ascii="黑体" w:eastAsia="黑体" w:cs="黑体"/>
          <w:b w:val="0"/>
          <w:color w:val="auto"/>
          <w:sz w:val="32"/>
          <w:szCs w:val="32"/>
          <w:shd w:val="clear" w:color="auto" w:fill="FFFFFF"/>
          <w:lang w:val="en-US"/>
        </w:rPr>
      </w:pPr>
      <w:r>
        <w:rPr>
          <w:rStyle w:val="9"/>
          <w:rFonts w:hint="eastAsia" w:ascii="黑体" w:eastAsia="黑体" w:cs="黑体"/>
          <w:b w:val="0"/>
          <w:color w:val="auto"/>
          <w:sz w:val="32"/>
          <w:szCs w:val="32"/>
          <w:shd w:val="clear" w:color="auto" w:fill="FFFFFF"/>
          <w:lang w:val="en-US"/>
        </w:rPr>
        <w:t>附件2</w:t>
      </w:r>
    </w:p>
    <w:p w14:paraId="3659AB4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Arial"/>
          <w:color w:val="auto"/>
          <w:kern w:val="2"/>
          <w:sz w:val="44"/>
          <w:szCs w:val="44"/>
          <w:lang w:val="en-US" w:eastAsia="zh-CN" w:bidi="ar-SA"/>
        </w:rPr>
      </w:pPr>
    </w:p>
    <w:p w14:paraId="74C9FF4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Arial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Arial"/>
          <w:color w:val="auto"/>
          <w:kern w:val="2"/>
          <w:sz w:val="44"/>
          <w:szCs w:val="44"/>
          <w:lang w:val="en-US" w:eastAsia="zh-CN" w:bidi="ar-SA"/>
        </w:rPr>
        <w:t>高校、科研院所成果转化奖励细则</w:t>
      </w:r>
    </w:p>
    <w:p w14:paraId="64AE378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 w:cs="Arial"/>
          <w:bCs/>
          <w:color w:val="auto"/>
          <w:sz w:val="32"/>
          <w:szCs w:val="32"/>
        </w:rPr>
      </w:pPr>
    </w:p>
    <w:p w14:paraId="2808521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lang w:val="en-US" w:eastAsia="zh-CN"/>
        </w:rPr>
        <w:t>一、支持对象</w:t>
      </w:r>
    </w:p>
    <w:p w14:paraId="087989C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eastAsia="仿宋_GB2312" w:cs="Arial"/>
          <w:bCs/>
          <w:color w:val="auto"/>
          <w:sz w:val="32"/>
          <w:szCs w:val="32"/>
        </w:rPr>
      </w:pPr>
      <w:r>
        <w:rPr>
          <w:rFonts w:hint="eastAsia" w:ascii="仿宋_GB2312" w:eastAsia="仿宋_GB2312" w:cs="Arial"/>
          <w:bCs/>
          <w:color w:val="auto"/>
          <w:sz w:val="32"/>
          <w:szCs w:val="32"/>
        </w:rPr>
        <w:t>上年度</w:t>
      </w:r>
      <w:r>
        <w:rPr>
          <w:rFonts w:hint="eastAsia" w:ascii="仿宋_GB2312" w:eastAsia="仿宋_GB2312" w:cs="Arial"/>
          <w:bCs/>
          <w:color w:val="auto"/>
          <w:sz w:val="32"/>
          <w:szCs w:val="32"/>
          <w:lang w:eastAsia="zh-CN"/>
        </w:rPr>
        <w:t>在省内落地科技成果转化项目</w:t>
      </w:r>
      <w:r>
        <w:rPr>
          <w:rFonts w:hint="eastAsia" w:ascii="仿宋_GB2312" w:eastAsia="仿宋_GB2312" w:cs="Arial"/>
          <w:bCs/>
          <w:color w:val="auto"/>
          <w:sz w:val="32"/>
          <w:szCs w:val="32"/>
        </w:rPr>
        <w:t>的省内高校、科研院所。</w:t>
      </w:r>
    </w:p>
    <w:p w14:paraId="62B02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 w:cs="Arial"/>
          <w:bCs/>
          <w:color w:val="auto"/>
          <w:sz w:val="32"/>
          <w:szCs w:val="32"/>
        </w:rPr>
      </w:pPr>
      <w:r>
        <w:rPr>
          <w:rFonts w:hint="eastAsia" w:ascii="黑体" w:eastAsia="黑体" w:cs="黑体"/>
          <w:bCs/>
          <w:sz w:val="32"/>
          <w:szCs w:val="32"/>
          <w:lang w:val="en-US" w:eastAsia="zh-CN"/>
        </w:rPr>
        <w:t>二、支持条件</w:t>
      </w:r>
    </w:p>
    <w:p w14:paraId="6E68EDB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 w:cs="Arial"/>
          <w:bCs/>
          <w:color w:val="auto"/>
          <w:sz w:val="32"/>
          <w:szCs w:val="32"/>
        </w:rPr>
      </w:pPr>
      <w:r>
        <w:rPr>
          <w:rFonts w:hint="eastAsia" w:ascii="仿宋_GB2312" w:eastAsia="仿宋_GB2312" w:cs="Arial"/>
          <w:bCs/>
          <w:color w:val="auto"/>
          <w:sz w:val="32"/>
          <w:szCs w:val="32"/>
        </w:rPr>
        <w:t>（一）我省高校、科研院所</w:t>
      </w:r>
      <w:r>
        <w:rPr>
          <w:rFonts w:hint="eastAsia" w:ascii="仿宋_GB2312" w:eastAsia="仿宋_GB2312" w:cs="Arial"/>
          <w:bCs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eastAsia="仿宋_GB2312" w:cs="Arial"/>
          <w:bCs/>
          <w:color w:val="auto"/>
          <w:sz w:val="32"/>
          <w:szCs w:val="32"/>
        </w:rPr>
        <w:t>签订技术转让、技术许可</w:t>
      </w:r>
      <w:r>
        <w:rPr>
          <w:rFonts w:hint="eastAsia" w:ascii="仿宋_GB2312" w:eastAsia="仿宋_GB2312" w:cs="Arial"/>
          <w:bCs/>
          <w:color w:val="auto"/>
          <w:sz w:val="32"/>
          <w:szCs w:val="32"/>
          <w:lang w:val="en-US" w:eastAsia="zh-CN"/>
        </w:rPr>
        <w:t>合同</w:t>
      </w:r>
      <w:r>
        <w:rPr>
          <w:rFonts w:hint="eastAsia" w:ascii="仿宋_GB2312" w:eastAsia="仿宋_GB2312" w:cs="Arial"/>
          <w:bCs/>
          <w:color w:val="auto"/>
          <w:sz w:val="32"/>
          <w:szCs w:val="32"/>
          <w:lang w:eastAsia="zh-CN"/>
        </w:rPr>
        <w:t>并</w:t>
      </w:r>
      <w:r>
        <w:rPr>
          <w:rFonts w:hint="eastAsia" w:ascii="仿宋_GB2312" w:eastAsia="仿宋_GB2312" w:cs="Arial"/>
          <w:bCs/>
          <w:color w:val="auto"/>
          <w:sz w:val="32"/>
          <w:szCs w:val="32"/>
        </w:rPr>
        <w:t>在“全国技术合同网上登记系统”完成认定登记</w:t>
      </w:r>
      <w:r>
        <w:rPr>
          <w:rFonts w:hint="eastAsia" w:ascii="仿宋_GB2312" w:eastAsia="仿宋_GB2312" w:cs="Arial"/>
          <w:bCs/>
          <w:color w:val="auto"/>
          <w:sz w:val="32"/>
          <w:szCs w:val="32"/>
          <w:lang w:val="en-US" w:eastAsia="zh-CN"/>
        </w:rPr>
        <w:t>或已签订作价入股协议。</w:t>
      </w:r>
    </w:p>
    <w:p w14:paraId="15B047B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 w:cs="Arial"/>
          <w:bCs/>
          <w:color w:val="auto"/>
          <w:sz w:val="32"/>
          <w:szCs w:val="32"/>
        </w:rPr>
      </w:pPr>
      <w:r>
        <w:rPr>
          <w:rFonts w:hint="eastAsia" w:ascii="仿宋_GB2312" w:eastAsia="仿宋_GB2312" w:cs="Arial"/>
          <w:bCs/>
          <w:color w:val="auto"/>
          <w:sz w:val="32"/>
          <w:szCs w:val="32"/>
        </w:rPr>
        <w:t>（二）技术交易未享受过省级财政补助，合同到账金额（发票及付款截至申报日）或有关股权折算金额在300万元以上</w:t>
      </w:r>
      <w:r>
        <w:rPr>
          <w:rFonts w:hint="eastAsia" w:ascii="仿宋_GB2312" w:eastAsia="仿宋_GB2312" w:cs="Arial"/>
          <w:bCs/>
          <w:color w:val="auto"/>
          <w:sz w:val="32"/>
          <w:szCs w:val="32"/>
          <w:lang w:eastAsia="zh-CN"/>
        </w:rPr>
        <w:t>（以增资入股协议为准）</w:t>
      </w:r>
      <w:r>
        <w:rPr>
          <w:rFonts w:hint="eastAsia" w:ascii="仿宋_GB2312" w:eastAsia="仿宋_GB2312" w:cs="Arial"/>
          <w:bCs/>
          <w:color w:val="auto"/>
          <w:sz w:val="32"/>
          <w:szCs w:val="32"/>
        </w:rPr>
        <w:t>。</w:t>
      </w:r>
    </w:p>
    <w:p w14:paraId="19B8BE5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 w:cs="Arial"/>
          <w:bCs/>
          <w:color w:val="auto"/>
          <w:sz w:val="32"/>
          <w:szCs w:val="32"/>
        </w:rPr>
      </w:pPr>
      <w:r>
        <w:rPr>
          <w:rFonts w:hint="eastAsia" w:ascii="仿宋_GB2312" w:eastAsia="仿宋_GB2312" w:cs="Arial"/>
          <w:bCs/>
          <w:color w:val="auto"/>
          <w:sz w:val="32"/>
          <w:szCs w:val="32"/>
        </w:rPr>
        <w:t>（三）转让的知识产权成果，须已在相应知识产权国家管理部门完成权属变更。</w:t>
      </w:r>
    </w:p>
    <w:p w14:paraId="5335440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eastAsia="仿宋_GB2312" w:cs="Arial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Arial"/>
          <w:bCs/>
          <w:color w:val="auto"/>
          <w:sz w:val="32"/>
          <w:szCs w:val="32"/>
        </w:rPr>
        <w:t>（四）交易的科技成果买方</w:t>
      </w:r>
      <w:r>
        <w:rPr>
          <w:rFonts w:hint="eastAsia" w:ascii="仿宋_GB2312" w:eastAsia="仿宋_GB2312" w:cs="Arial"/>
          <w:bCs/>
          <w:color w:val="auto"/>
          <w:sz w:val="32"/>
          <w:szCs w:val="32"/>
          <w:lang w:val="en-US" w:eastAsia="zh-CN"/>
        </w:rPr>
        <w:t>或作价入股的主体（即被入股企业）</w:t>
      </w:r>
      <w:r>
        <w:rPr>
          <w:rFonts w:hint="eastAsia" w:ascii="仿宋_GB2312" w:eastAsia="仿宋_GB2312" w:cs="Arial"/>
          <w:bCs/>
          <w:color w:val="auto"/>
          <w:sz w:val="32"/>
          <w:szCs w:val="32"/>
        </w:rPr>
        <w:t>应为我省企业。</w:t>
      </w:r>
    </w:p>
    <w:p w14:paraId="55DEE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Cs/>
          <w:sz w:val="32"/>
          <w:szCs w:val="32"/>
          <w:lang w:val="en-US" w:eastAsia="zh-CN"/>
        </w:rPr>
        <w:t>三、支持方式与标准</w:t>
      </w:r>
    </w:p>
    <w:p w14:paraId="0F1F07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高校、科研院所成果转化奖励资金采取后补助方式。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/>
        </w:rPr>
        <w:t>对高校、科研院所以转让、许可、作价入股等形式在省内落地的科技成果转化项目，根据技术合同到账金额或有关股权折算金额在300万元（含300万元）以上的，按规定给予成果出让单位到账金额或股权折算金额20%奖励，每项最高奖励1000万元。</w:t>
      </w:r>
    </w:p>
    <w:p w14:paraId="7FAEBA5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黑体" w:hAnsi="Calibri" w:eastAsia="黑体" w:cs="黑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Calibri" w:eastAsia="黑体" w:cs="黑体"/>
          <w:bCs/>
          <w:color w:val="auto"/>
          <w:kern w:val="2"/>
          <w:sz w:val="32"/>
          <w:szCs w:val="32"/>
          <w:lang w:val="en-US" w:eastAsia="zh-CN" w:bidi="ar-SA"/>
        </w:rPr>
        <w:t>四、工作程序</w:t>
      </w:r>
    </w:p>
    <w:p w14:paraId="68D322E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提取数据。</w:t>
      </w:r>
      <w:r>
        <w:rPr>
          <w:rFonts w:ascii="Times New Roman" w:hAnsi="Times New Roman" w:eastAsia="仿宋_GB2312"/>
          <w:sz w:val="32"/>
          <w:szCs w:val="32"/>
        </w:rPr>
        <w:t>省科技厅通过全国技术合同认定登记系统，提取省内高校、科研院所作为卖方的技术合同认定登记数据。</w:t>
      </w:r>
    </w:p>
    <w:p w14:paraId="67486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eastAsia="仿宋_GB2312" w:cs="Arial"/>
          <w:color w:val="000000"/>
          <w:sz w:val="32"/>
          <w:szCs w:val="32"/>
        </w:rPr>
        <w:t>（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 w:cs="Arial"/>
          <w:color w:val="000000"/>
          <w:sz w:val="32"/>
          <w:szCs w:val="32"/>
        </w:rPr>
        <w:t>）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 w:cs="Arial"/>
          <w:color w:val="000000"/>
          <w:sz w:val="32"/>
          <w:szCs w:val="32"/>
        </w:rPr>
        <w:t>申报。省科技厅每年公开发布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高校、科研院所成果转化</w:t>
      </w:r>
      <w:r>
        <w:rPr>
          <w:rFonts w:hint="eastAsia" w:ascii="仿宋_GB2312" w:eastAsia="仿宋_GB2312" w:cs="Arial"/>
          <w:color w:val="000000"/>
          <w:sz w:val="32"/>
          <w:szCs w:val="32"/>
          <w:lang w:eastAsia="zh-CN"/>
        </w:rPr>
        <w:t>奖励</w:t>
      </w:r>
      <w:r>
        <w:rPr>
          <w:rFonts w:hint="eastAsia" w:ascii="仿宋_GB2312" w:eastAsia="仿宋_GB2312" w:cs="Arial"/>
          <w:color w:val="000000"/>
          <w:sz w:val="32"/>
          <w:szCs w:val="32"/>
        </w:rPr>
        <w:t>申报通知。相关单位按照本实施细则和通知要求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Arial"/>
          <w:color w:val="000000"/>
          <w:sz w:val="32"/>
          <w:szCs w:val="32"/>
        </w:rPr>
        <w:t>申报材料，报送所属市（地）科技主管部门。</w:t>
      </w:r>
    </w:p>
    <w:p w14:paraId="68A90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eastAsia="仿宋_GB2312" w:cs="Arial"/>
          <w:color w:val="000000"/>
          <w:sz w:val="32"/>
          <w:szCs w:val="32"/>
        </w:rPr>
        <w:t>（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 w:cs="Arial"/>
          <w:color w:val="000000"/>
          <w:sz w:val="32"/>
          <w:szCs w:val="32"/>
        </w:rPr>
        <w:t>）市（地）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审核</w:t>
      </w:r>
      <w:r>
        <w:rPr>
          <w:rFonts w:hint="eastAsia" w:ascii="仿宋_GB2312" w:eastAsia="仿宋_GB2312" w:cs="Arial"/>
          <w:color w:val="000000"/>
          <w:sz w:val="32"/>
          <w:szCs w:val="32"/>
        </w:rPr>
        <w:t>推荐。各市（地）科技主管部门对本地申报的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材料</w:t>
      </w:r>
      <w:r>
        <w:rPr>
          <w:rFonts w:hint="eastAsia" w:ascii="仿宋_GB2312" w:eastAsia="仿宋_GB2312" w:cs="Arial"/>
          <w:color w:val="000000"/>
          <w:sz w:val="32"/>
          <w:szCs w:val="32"/>
        </w:rPr>
        <w:t>进行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审核</w:t>
      </w:r>
      <w:r>
        <w:rPr>
          <w:rFonts w:ascii="仿宋_GB2312" w:eastAsia="仿宋_GB2312" w:cs="Arial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Arial"/>
          <w:color w:val="000000"/>
          <w:sz w:val="32"/>
          <w:szCs w:val="32"/>
        </w:rPr>
        <w:t>汇总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 w:cs="Arial"/>
          <w:color w:val="000000"/>
          <w:sz w:val="32"/>
          <w:szCs w:val="32"/>
        </w:rPr>
        <w:t>推荐并报送省科技厅。</w:t>
      </w:r>
    </w:p>
    <w:p w14:paraId="73538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 w:cs="Arial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Arial"/>
          <w:color w:val="000000"/>
          <w:sz w:val="32"/>
          <w:szCs w:val="32"/>
        </w:rPr>
        <w:t>（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 w:cs="Arial"/>
          <w:color w:val="000000"/>
          <w:sz w:val="32"/>
          <w:szCs w:val="32"/>
        </w:rPr>
        <w:t>）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审核</w:t>
      </w:r>
      <w:r>
        <w:rPr>
          <w:rFonts w:hint="eastAsia" w:ascii="仿宋_GB2312" w:eastAsia="仿宋_GB2312" w:cs="Arial"/>
          <w:color w:val="000000"/>
          <w:sz w:val="32"/>
          <w:szCs w:val="32"/>
        </w:rPr>
        <w:t>公示。省科技厅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组织有关单位对申报材料的完整性、技术交易数据的真实性、准确性等进行审核，根据审核结果，履行厅内会议审议程序后，确定拟奖励名单和资金分配意见。拟奖励名单</w:t>
      </w:r>
      <w:r>
        <w:rPr>
          <w:rFonts w:hint="eastAsia" w:ascii="仿宋_GB2312" w:eastAsia="仿宋_GB2312" w:cs="Arial"/>
          <w:color w:val="000000"/>
          <w:sz w:val="32"/>
          <w:szCs w:val="32"/>
        </w:rPr>
        <w:t>在省科技厅门户网站公示5个工作日</w:t>
      </w:r>
      <w:r>
        <w:rPr>
          <w:rFonts w:hint="eastAsia" w:ascii="仿宋_GB2312" w:eastAsia="仿宋_GB2312" w:cs="Arial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确因需要可按规定延长。公示期间有异议的，省科技厅应及时核实处理。</w:t>
      </w:r>
    </w:p>
    <w:p w14:paraId="1BA22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eastAsia="仿宋_GB2312" w:cs="Arial"/>
          <w:color w:val="000000"/>
          <w:sz w:val="32"/>
          <w:szCs w:val="32"/>
        </w:rPr>
        <w:t>（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 w:cs="Arial"/>
          <w:color w:val="000000"/>
          <w:sz w:val="32"/>
          <w:szCs w:val="32"/>
        </w:rPr>
        <w:t>）下达资金。公示期满无异议后，省科技会同省财政厅向省政府</w:t>
      </w:r>
      <w:r>
        <w:rPr>
          <w:rFonts w:hint="eastAsia" w:ascii="仿宋_GB2312" w:eastAsia="仿宋_GB2312" w:cs="Arial"/>
          <w:color w:val="000000"/>
          <w:sz w:val="32"/>
          <w:szCs w:val="32"/>
          <w:lang w:eastAsia="zh-CN"/>
        </w:rPr>
        <w:t>联合</w:t>
      </w:r>
      <w:r>
        <w:rPr>
          <w:rFonts w:hint="eastAsia" w:ascii="仿宋_GB2312" w:eastAsia="仿宋_GB2312" w:cs="Arial"/>
          <w:color w:val="000000"/>
          <w:sz w:val="32"/>
          <w:szCs w:val="32"/>
        </w:rPr>
        <w:t>呈报资金请示</w:t>
      </w:r>
      <w:r>
        <w:rPr>
          <w:rFonts w:hint="eastAsia" w:ascii="仿宋_GB2312" w:eastAsia="仿宋_GB2312" w:cs="Arial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按规定履行资金拨付程序</w:t>
      </w:r>
      <w:r>
        <w:rPr>
          <w:rFonts w:hint="eastAsia" w:ascii="仿宋_GB2312" w:eastAsia="仿宋_GB2312" w:cs="Arial"/>
          <w:color w:val="000000"/>
          <w:sz w:val="32"/>
          <w:szCs w:val="32"/>
        </w:rPr>
        <w:t>。</w:t>
      </w:r>
    </w:p>
    <w:p w14:paraId="766B6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Cs/>
          <w:sz w:val="32"/>
          <w:szCs w:val="32"/>
          <w:lang w:val="en-US" w:eastAsia="zh-CN"/>
        </w:rPr>
        <w:t>五、监督管理</w:t>
      </w:r>
    </w:p>
    <w:p w14:paraId="31B97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 w:cs="Arial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奖励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资金主要用于高校、科研院所开展成果转化、技术经理人培训、技术转移服务活动所发生的相关支出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及科技成果转化贡献人的绩效工资等，其中不低于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50%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用于奖励科技成果转化贡献人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获得奖励的高校、科研院所应制定资金使用方案，报省科技厅备案。</w:t>
      </w:r>
      <w:r>
        <w:rPr>
          <w:rFonts w:hint="eastAsia" w:ascii="仿宋_GB2312" w:hAnsi="Calibri" w:eastAsia="仿宋_GB2312"/>
          <w:color w:val="000000"/>
          <w:sz w:val="32"/>
          <w:szCs w:val="32"/>
          <w:lang w:eastAsia="zh-CN"/>
        </w:rPr>
        <w:t>其它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监督管理及绩效管理具体要求详见《黑龙江省科技成果转移转化服务体系奖励政策实施细则》第五条、第六条。</w:t>
      </w:r>
    </w:p>
    <w:p w14:paraId="36B2357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Style w:val="9"/>
          <w:rFonts w:hint="eastAsia" w:ascii="黑体" w:eastAsia="黑体" w:cs="黑体"/>
          <w:b w:val="0"/>
          <w:color w:val="auto"/>
          <w:sz w:val="32"/>
          <w:szCs w:val="32"/>
          <w:shd w:val="clear" w:color="auto" w:fill="FFFFFF"/>
          <w:lang w:val="en-US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74A95">
    <w:pPr>
      <w:pStyle w:val="4"/>
      <w:framePr w:wrap="around" w:vAnchor="text" w:hAnchor="margin" w:xAlign="center" w:y="1"/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8</w:t>
    </w:r>
    <w:r>
      <w:rPr>
        <w:rStyle w:val="10"/>
      </w:rPr>
      <w:fldChar w:fldCharType="end"/>
    </w:r>
  </w:p>
  <w:p w14:paraId="7C66B0C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13505">
    <w:pPr>
      <w:pStyle w:val="4"/>
      <w:framePr w:wrap="around" w:vAnchor="text" w:hAnchor="margin" w:xAlign="center" w:y="1"/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2D32AE5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jQwMTQ4NTVkZWRjMjBlOTk1MjFhOWM3NGE0NjMifQ=="/>
  </w:docVars>
  <w:rsids>
    <w:rsidRoot w:val="612D1A6F"/>
    <w:rsid w:val="3DE605B6"/>
    <w:rsid w:val="612D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cs="Times New Roman"/>
    </w:rPr>
  </w:style>
  <w:style w:type="paragraph" w:styleId="3">
    <w:name w:val="Balloon Text"/>
    <w:basedOn w:val="1"/>
    <w:qFormat/>
    <w:uiPriority w:val="0"/>
    <w:rPr>
      <w:rFonts w:cs="Times New Roman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rFonts w:cs="Times New Roman"/>
      <w:color w:val="FF0000"/>
      <w:sz w:val="24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9">
    <w:name w:val="Strong"/>
    <w:basedOn w:val="8"/>
    <w:qFormat/>
    <w:uiPriority w:val="0"/>
    <w:rPr>
      <w:rFonts w:ascii="Calibri" w:hAnsi="Calibri" w:eastAsia="宋体" w:cs="Times New Roman"/>
      <w:b/>
      <w:kern w:val="2"/>
      <w:sz w:val="21"/>
      <w:szCs w:val="24"/>
      <w:lang w:val="en-US" w:eastAsia="zh-CN" w:bidi="ar-SA"/>
    </w:rPr>
  </w:style>
  <w:style w:type="character" w:styleId="10">
    <w:name w:val="page number"/>
    <w:basedOn w:val="8"/>
    <w:qFormat/>
    <w:uiPriority w:val="0"/>
  </w:style>
  <w:style w:type="paragraph" w:customStyle="1" w:styleId="11">
    <w:name w:val="正文 New New New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4595</Words>
  <Characters>4660</Characters>
  <Lines>0</Lines>
  <Paragraphs>0</Paragraphs>
  <TotalTime>1</TotalTime>
  <ScaleCrop>false</ScaleCrop>
  <LinksUpToDate>false</LinksUpToDate>
  <CharactersWithSpaces>4722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2024-06-27T06:14:00Z</dcterms:created>
  <dc:creator>hallyyue</dc:creator>
  <cp:lastModifiedBy>GS</cp:lastModifiedBy>
  <dcterms:modified xsi:type="dcterms:W3CDTF">2024-07-05T02:47:35Z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11C8C6E24F1842CE86ED303DCF888015_11</vt:lpwstr>
  </property>
</Properties>
</file>